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E332" w14:textId="77777777" w:rsidR="009E46A8" w:rsidRPr="00CC5B62" w:rsidRDefault="009E46A8" w:rsidP="009E46A8">
      <w:pPr>
        <w:spacing w:after="0" w:line="240" w:lineRule="auto"/>
        <w:ind w:left="567" w:hanging="567"/>
        <w:rPr>
          <w:rFonts w:ascii="GHEA Grapalat" w:hAnsi="GHEA Grapalat" w:cs="Sylfaen"/>
          <w:sz w:val="20"/>
          <w:szCs w:val="20"/>
          <w:lang w:val="hy-AM"/>
        </w:rPr>
      </w:pPr>
    </w:p>
    <w:p w14:paraId="2B938BC2" w14:textId="77777777" w:rsidR="0074089C" w:rsidRPr="00CC5B62" w:rsidRDefault="0074089C" w:rsidP="0074089C">
      <w:pPr>
        <w:tabs>
          <w:tab w:val="left" w:pos="8364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Հավելված</w:t>
      </w:r>
    </w:p>
    <w:p w14:paraId="465E888C" w14:textId="77777777" w:rsidR="004C5BA8" w:rsidRPr="00CC5B62" w:rsidRDefault="0074089C" w:rsidP="0074089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Հայաստանի Հանրապետության </w:t>
      </w:r>
    </w:p>
    <w:p w14:paraId="56655523" w14:textId="7B2144EF" w:rsidR="0074089C" w:rsidRPr="00CC5B62" w:rsidRDefault="0074089C" w:rsidP="0074089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Արմավիրի  մարզի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Փարաքար  համայնքի  ավագանու</w:t>
      </w:r>
    </w:p>
    <w:p w14:paraId="087FFA62" w14:textId="4CFA0D23" w:rsidR="0074089C" w:rsidRPr="00CC5B62" w:rsidRDefault="0074089C" w:rsidP="0074089C">
      <w:pPr>
        <w:tabs>
          <w:tab w:val="left" w:pos="918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2023 թվականի  </w:t>
      </w:r>
      <w:r w:rsidR="00427613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CD0285">
        <w:rPr>
          <w:rFonts w:ascii="GHEA Grapalat" w:hAnsi="GHEA Grapalat"/>
          <w:sz w:val="20"/>
          <w:szCs w:val="20"/>
          <w:lang w:val="hy-AM"/>
        </w:rPr>
        <w:t xml:space="preserve"> </w:t>
      </w:r>
      <w:r w:rsidR="00F21A4F">
        <w:rPr>
          <w:rFonts w:ascii="GHEA Grapalat" w:hAnsi="GHEA Grapalat"/>
          <w:sz w:val="20"/>
          <w:szCs w:val="20"/>
          <w:lang w:val="hy-AM"/>
        </w:rPr>
        <w:t>12</w:t>
      </w:r>
      <w:r w:rsidR="00CD0285">
        <w:rPr>
          <w:rFonts w:ascii="GHEA Grapalat" w:hAnsi="GHEA Grapalat"/>
          <w:sz w:val="20"/>
          <w:szCs w:val="20"/>
          <w:lang w:val="hy-AM"/>
        </w:rPr>
        <w:t>-ի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N </w:t>
      </w:r>
      <w:r w:rsidR="00427613">
        <w:rPr>
          <w:rFonts w:ascii="GHEA Grapalat" w:hAnsi="GHEA Grapalat"/>
          <w:sz w:val="20"/>
          <w:szCs w:val="20"/>
          <w:lang w:val="hy-AM"/>
        </w:rPr>
        <w:t>70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>-Ն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որոշման                                                                                   </w:t>
      </w:r>
    </w:p>
    <w:p w14:paraId="74F7D31A" w14:textId="77777777" w:rsidR="00752BB9" w:rsidRPr="00CC5B62" w:rsidRDefault="00752BB9" w:rsidP="0074089C">
      <w:pPr>
        <w:tabs>
          <w:tab w:val="left" w:pos="-630"/>
        </w:tabs>
        <w:spacing w:line="240" w:lineRule="auto"/>
        <w:ind w:firstLine="63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185E02A" w14:textId="5C138C3C" w:rsidR="0074089C" w:rsidRPr="00CC5B62" w:rsidRDefault="0074089C" w:rsidP="00752BB9">
      <w:pPr>
        <w:spacing w:line="240" w:lineRule="auto"/>
        <w:ind w:firstLine="63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ԿԱՆՈՆՆԵՐ</w:t>
      </w:r>
    </w:p>
    <w:p w14:paraId="77F57D9A" w14:textId="19083DCF" w:rsidR="0074089C" w:rsidRPr="00CC5B62" w:rsidRDefault="0074089C" w:rsidP="0074089C">
      <w:pPr>
        <w:pStyle w:val="ListParagraph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ՀԱՆՐԱՊԵՏՈՒԹՅԱՆ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ԱՐՄԱՎԻՐԻ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ՄԱՐԶԻ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ՏԱՐԱԾՔՈՒՄ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ՀԱՆՐԱՅԻՆ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ՍՆՆԴԻ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ԿԱԶՄԱԿԵՐՊՄԱՆ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ԵՎ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ԻՐԱԿԱՆԱՑՄԱՆ</w:t>
      </w:r>
    </w:p>
    <w:p w14:paraId="1FE06EB0" w14:textId="3D68AD7A" w:rsidR="0074089C" w:rsidRPr="00CC5B62" w:rsidRDefault="006D00AA" w:rsidP="006D00AA">
      <w:pPr>
        <w:pStyle w:val="ListParagraph"/>
        <w:spacing w:after="160" w:line="256" w:lineRule="auto"/>
        <w:ind w:left="3905"/>
        <w:rPr>
          <w:rFonts w:ascii="GHEA Grapalat" w:hAnsi="GHEA Grapalat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ԸՆԴՀԱՆՈՒՐ ԴՐՈՒՅԹՆԵՐ</w:t>
      </w:r>
    </w:p>
    <w:p w14:paraId="00032597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 xml:space="preserve">Սույն կանոններով կարգավորվում է Հայաստանի Հանրապետության Արմավիրի  մարզի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 համայնքի տարածքում առևտրի, հանրային սննդի և կենցաղային ծառայությունների (այսուհետ` առևտրի և ծառայությունների)  ոլորտում իրականացվող գործունեությունը:</w:t>
      </w:r>
    </w:p>
    <w:p w14:paraId="13C5C88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Համայնքի տարածքում առևտրի և ծառայությունների ոլորտում իրականացվող գործունեությունը կանոնակարգվում է «Առևտրի և ծառայությունների մասին», «Տեղական ինքնակառավարման մասին» Հայաստանի Հանրապետության օրենքներով, Հայաստանի Հանրապետության Քաղաքացիական օրենսգրքով, «Վարչական իրավախախտումների վերաբերյալ» Հայաստանի Հանրապետության օրենսգրքով, այլ իրավական ակտերով և սույն կանոններով:</w:t>
      </w:r>
    </w:p>
    <w:p w14:paraId="25ABB9F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 xml:space="preserve">Համայնքի տարածքում սույն կանոնների պահպանման նկատմամբ վերահսկողությունն իրականացնում է Հայաստանի Հանրապետության </w:t>
      </w:r>
      <w:r w:rsidRPr="00CC5B62">
        <w:rPr>
          <w:rFonts w:ascii="GHEA Grapalat" w:hAnsi="GHEA Grapalat"/>
          <w:sz w:val="20"/>
          <w:szCs w:val="20"/>
        </w:rPr>
        <w:t>Արմավիր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ի մարզի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համայնքի ղեկավարը:</w:t>
      </w:r>
    </w:p>
    <w:p w14:paraId="6C274F1E" w14:textId="646FCDEB" w:rsidR="0074089C" w:rsidRPr="00CC5B62" w:rsidRDefault="006D00AA" w:rsidP="006D00AA">
      <w:pPr>
        <w:pStyle w:val="ListParagraph"/>
        <w:spacing w:after="160" w:line="256" w:lineRule="auto"/>
        <w:ind w:left="1440" w:firstLine="720"/>
        <w:rPr>
          <w:rFonts w:ascii="GHEA Grapalat" w:hAnsi="GHEA Grapalat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ԱՌԵՎՏՐԻ ՕԲՅԵԿՏՆԵՐԻՆ ՆԵՐԿԱՅԱՑՎՈՂ</w:t>
      </w:r>
      <w:r w:rsidR="0074089C" w:rsidRPr="00CC5B62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ՊԱՀԱՆՋՆԵՐԸ</w:t>
      </w:r>
    </w:p>
    <w:p w14:paraId="3B1319C0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Համայնքի տարածքում առևտուրն իրականացվում է առևտրի օբյեկտներում` խանութներում, կրպակներում, տաղավարներում, հեղուկ վառելիքի, տեխնիկական հեղուկների, հեղուկացված գազերի մանրածախ առևտրի կետերում, ինչպես նաև առևտրի իրականացման վայրերում` առևտրի կենտրոններում, սպառողական ապրանքների շուկաներում, գյուղատնտեսական արտադրանքի շուկաներում, կենդանիների շուկաներում, տոնավաճառներում (վերնիսաժներում)  և ցուցահանդես-վաճառքի անցկացման վայրերում, բացօթյա առևտրի վայրերում, շրջիկ առևտրի կետերում:</w:t>
      </w:r>
    </w:p>
    <w:p w14:paraId="66CFAB4C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Առևտրի օբյեկտներում սննդամթերքի և ոչ պարենային ապրանքների, ինչպես նաև գյուղատնտեսական արտադրանքի վաճառքը պետք է կատարվի ըստ ապրանքախմբերի առանձին բաժիններում:</w:t>
      </w:r>
    </w:p>
    <w:p w14:paraId="47EB6690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Ելնելով տվյալ առևտրի օբյեկտի առանձնահատկություններից առևտրի օբյեկտը պետք է ապահովված լինի օրենքով թույլատրված ապրանքների վաճառքը կազմակերպելու համար օրենսդրությանը համապատասխան ընդունման, պահման և վաճառքի պայմաններն ապահովող սարքավորումնեով  և առևտրատեխնոլոգիական պարագաներով, պահեստային, վարչակենցաղային, ապրանքների վաճառքի նախապատրաստման համար անհրաժեշտ տարածքներով:</w:t>
      </w:r>
    </w:p>
    <w:p w14:paraId="2CCA87F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 xml:space="preserve"> Առևտրի օբյեկտը պետք է ապահովված լինի Հայաստանի Հանրապետության       կառավարության սահմանած պահանջները բավարարող ցուցանակով: </w:t>
      </w:r>
    </w:p>
    <w:p w14:paraId="70CFE167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Առևտրի օբյեկտներում սգո ծիսակատարություններին վերաբերող ապրանքների նմուշների ցուցադրումն առևտրի օբյեկտից դուրս արգելվում է: Նշված ապրանքներ վաճառող առևտրի օբյեկտների ցուցափեղկերը և մուտքերը պարտադիր պետք է լինեն վարագուրապատված` այնպես, որ վաճառող ապրանքների նմուշները տեսանելի չլինեն:</w:t>
      </w:r>
    </w:p>
    <w:p w14:paraId="72072D38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Հեղուկ վառելիքի, տեխնիկական հեղուկների, հեղուկացված գազերի մանրածախ առևտրի կետերը պետք է ապահովված լինեն օրենսդրությանը համապատասխան կառուցված վճարովի կամ անվճար հասարակական զուգարաններով և դրանց առկայության մասին տեղեկացնող, ինչպես նաև գտնվելու տեղի վերաբերյալ նշում պարունակող մուտքի մոտակայքում տեղակայված ցուցանակով:</w:t>
      </w:r>
    </w:p>
    <w:p w14:paraId="185EA07A" w14:textId="659D9359" w:rsidR="0074089C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>Առևտրի իրականացման վայրի կազմակերպիչը պարտավոր է վաճառողներին (բացառությամբ առևտրի իրականացման վայրի տարածքում գործող առևտրի, հանրային սննդի օբյեկտների վաճառողների)   ապահովել օրենսդրությանը համապատասխան առևտրատեխնոլոգիական սարքավորումնեով, ինչպես նաև տվյալ առևտրական գործունեություն իրականացնելու համար նախատեսված այլ գույքով:</w:t>
      </w:r>
    </w:p>
    <w:p w14:paraId="692AB6DD" w14:textId="77777777" w:rsidR="00CC5B62" w:rsidRPr="00CC5B62" w:rsidRDefault="00CC5B62" w:rsidP="00CC5B62">
      <w:pPr>
        <w:spacing w:line="256" w:lineRule="auto"/>
        <w:jc w:val="both"/>
        <w:rPr>
          <w:rFonts w:ascii="GHEA Grapalat" w:hAnsi="GHEA Grapalat"/>
          <w:sz w:val="20"/>
          <w:szCs w:val="20"/>
          <w:lang w:val="en-US"/>
        </w:rPr>
      </w:pPr>
    </w:p>
    <w:p w14:paraId="6EE61E16" w14:textId="0E78103F" w:rsidR="0074089C" w:rsidRPr="00CC5B62" w:rsidRDefault="006D00AA" w:rsidP="006D00AA">
      <w:pPr>
        <w:pStyle w:val="ListParagraph"/>
        <w:spacing w:after="160" w:line="256" w:lineRule="auto"/>
        <w:ind w:left="1440" w:firstLine="720"/>
        <w:rPr>
          <w:rFonts w:ascii="GHEA Grapalat" w:hAnsi="GHEA Grapalat"/>
          <w:b/>
          <w:sz w:val="20"/>
          <w:szCs w:val="20"/>
          <w:lang w:val="en-US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3</w:t>
      </w:r>
      <w:r w:rsidRPr="00CC5B62">
        <w:rPr>
          <w:rFonts w:ascii="Cambria Math" w:hAnsi="Cambria Math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sz w:val="20"/>
          <w:szCs w:val="20"/>
          <w:lang w:val="en-US"/>
        </w:rPr>
        <w:t>ԱՌԵՎՏՐԻ ԿԱԶՄԱԿԵՐՊՄԱՆ ԿԱՆՈՆՆԵՐԸ</w:t>
      </w:r>
    </w:p>
    <w:p w14:paraId="0D1D2A8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բացառվի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պիտանիելության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2F652A4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հանելուց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առաջ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ստուգել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ըստ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արտաքին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հատկանիշների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իրազեկ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բնութագրական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հատկություններին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անհրաժեշտության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ստույգ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հավաստի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ECD3B3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զբաղվող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արտահագուստի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2666EF3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գումարի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վերադարձումը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վերահաշվարկն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EBB274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կենդանիների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տոնավաճառներում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ցուցահանդես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>-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գնապիտակի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պարտադիր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բացառությամբ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):</w:t>
      </w:r>
    </w:p>
    <w:p w14:paraId="6CDFE30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Տոնավաճառները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վերնիսաժները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կազմակերպում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ինքնակառավարման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մարմինները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շաբաթ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կիրակի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տոնական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41581F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դեղատների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Գնորդին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վերադարձման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8270B3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կատարելիս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ելնելով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տվյալ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ապրանքատեսակի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առանձնահատկությունից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հիգիենիկ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հակահամաճարակային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նյութերից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14:paraId="7CE6F354" w14:textId="77777777" w:rsidR="0074089C" w:rsidRPr="00CC5B62" w:rsidRDefault="0074089C" w:rsidP="008775B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պատրաստված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Փաթեթավորվող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փաթեթի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          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մեջդիր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տեսակը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քաշը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կիլոգրամի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արժեքը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քաշի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   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պիտանիելության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4311EB5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պատվերներով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ապահովել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ցանկի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պատվերների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տեսականու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մատչելի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ստույգ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տեղեկատվությամբ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17ED60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մանրածախ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խանութներում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տաղավարներում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կրպակներում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խանութների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բաժիններում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գտնվող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իսկ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շրջիկ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9E6A251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Ուսումնական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հաստատությունների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մանկական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բուժկանխարգելիչ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FEDBEF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Հեղուկ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վառելիքի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հեղուկացված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գազերի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մանրածախ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դուրս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վառելիքի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հեղուկացված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գազերի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գործարանային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ավտոցիստեռներով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EC4C74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շուկայի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կազմակերպիչը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փորձաքննություն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ստուգման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նպատակով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շուկայում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հագեցված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լաբորատորիա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E1DC0B0" w14:textId="04F50CE2" w:rsidR="0074089C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կենդանիների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կրպակներում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իրացնելը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):</w:t>
      </w:r>
    </w:p>
    <w:p w14:paraId="47FBE27D" w14:textId="77777777" w:rsidR="00CC5B62" w:rsidRPr="00CC5B62" w:rsidRDefault="00CC5B62" w:rsidP="00CC5B6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56760E3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18 </w:t>
      </w:r>
      <w:r w:rsidRPr="00CC5B62">
        <w:rPr>
          <w:rFonts w:ascii="GHEA Grapalat" w:hAnsi="GHEA Grapalat" w:cs="Sylfaen"/>
          <w:sz w:val="20"/>
          <w:szCs w:val="20"/>
        </w:rPr>
        <w:t>տարին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չլրացած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ալկոհոլային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թմրամիջոցներ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հոգեմետ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նյութեր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սարսափ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պոռնոգրաֆիա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բովանդակող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գրականություն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տեսաերիզներ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A0CD5A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Ցուցանակներում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ցուցափեղկերում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ինչպես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տեղեկատվության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տրամադրման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գովազդում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պատկանող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պահպանվող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ֆիրմային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եթե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այդպիսի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սեփականատիրոջ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թույտվությունը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96D8146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բացօթյա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ստացած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իրավաբանական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անձինք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անհատ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ձեռնարկատերերը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9051BD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ծաղիկների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տնկիների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ամանորյա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տոնակատարությունների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նախատեսված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եղևնիների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սոճիների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պաղպաղակի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ջրի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ջրի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հյութերի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զովացուցիչ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ըմպելիքների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բացօթյա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Վաճառարկղերը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դրվեն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տակդիրների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վաճառարկղերը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անմիջապես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գետնին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մայթին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սալահատակին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409F6E7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27E97BBD" w14:textId="5127EB21" w:rsidR="0074089C" w:rsidRPr="00CC5B62" w:rsidRDefault="006D00AA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 w:cs="Tahoma"/>
          <w:b/>
          <w:i/>
          <w:sz w:val="20"/>
          <w:szCs w:val="20"/>
          <w:lang w:val="hy-AM"/>
        </w:rPr>
        <w:t>4</w:t>
      </w:r>
      <w:r w:rsidRPr="00CC5B62">
        <w:rPr>
          <w:rFonts w:ascii="Cambria Math" w:hAnsi="Cambria Math" w:cs="Tahoma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 w:cs="Tahoma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</w:rPr>
        <w:t>ՀԱՆՐԱՅԻՆ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ՍՆՆԴԻ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ՕԲՅԵԿՏՆԵՐԻ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ՏԵՍԱԿՆԵՐՆ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ՈՒ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ԴՐԱՆՑ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br/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ՆԵՐԿԱՅԱՑՎՈՂ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ՊԱՀԱՆՋՆԵՐԸ</w:t>
      </w:r>
    </w:p>
    <w:p w14:paraId="0F3980A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սնունդը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կազմակերպումն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կահավորված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C088D23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տեսակներն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ճաշարանները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ռեստորանները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սրճարանները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բարերը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բուֆետները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5F1B39B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տեխնոլոգիական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գործընթացն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Pr="00CC5B62">
        <w:rPr>
          <w:rFonts w:ascii="GHEA Grapalat" w:hAnsi="GHEA Grapalat" w:cs="Sylfaen"/>
          <w:sz w:val="20"/>
          <w:szCs w:val="20"/>
        </w:rPr>
        <w:t>գործունեությունն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նախատեսված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գույքով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2826F62" w14:textId="76A077C9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8A7A01" w:rsidRPr="00CC5B62">
        <w:rPr>
          <w:rFonts w:ascii="GHEA Grapalat" w:hAnsi="GHEA Grapalat" w:cs="Sylfaen"/>
          <w:sz w:val="20"/>
          <w:szCs w:val="20"/>
          <w:lang w:val="hy-AM"/>
        </w:rPr>
        <w:t>&lt;Առևտրի և ծառայությունների մասին&gt; օրենք</w:t>
      </w:r>
      <w:r w:rsidR="006D00AA" w:rsidRPr="00CC5B62">
        <w:rPr>
          <w:rFonts w:ascii="GHEA Grapalat" w:hAnsi="GHEA Grapalat" w:cs="Sylfaen"/>
          <w:sz w:val="20"/>
          <w:szCs w:val="20"/>
          <w:lang w:val="hy-AM"/>
        </w:rPr>
        <w:t>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ցուցանակով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0F7E22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բարմենը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խոհարարը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հրուշակագործն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սանիտարական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գրքույկ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կրեն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հագուստ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կրթություն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պատրաստվածության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դիպլոմ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50AB22E5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սպասարկման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ձևերն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մեթոդները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0667E4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ճաշացուցակ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որը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Ճաշացուցակում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զանգվածը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վերջինիս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որն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707A13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Մատուցողի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որի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երկրորդ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օրինակը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ազգանունը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սպասարկման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կերակրատեսակների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արտադրատեսակների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խմորեղենի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գնովի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զանգվածը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4AC0ADFF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տալիս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Արմավիրի 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4016B06" w14:textId="763E2BE1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HEA Grapalat" w:hAnsi="GHEA Grapalat" w:cs="Sylfaen"/>
          <w:b/>
          <w:sz w:val="20"/>
          <w:szCs w:val="20"/>
          <w:lang w:val="en-US"/>
        </w:rPr>
      </w:pPr>
      <w:r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</w:p>
    <w:p w14:paraId="157377D6" w14:textId="74315BED" w:rsidR="0074089C" w:rsidRPr="00CC5B62" w:rsidRDefault="006D00AA" w:rsidP="006D00AA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ind w:left="720"/>
        <w:jc w:val="center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CC5B62">
        <w:rPr>
          <w:rFonts w:ascii="Cambria Math" w:hAnsi="Cambria Math" w:cs="Sylfaen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 w:cs="Sylfaen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ԿԵՆՑԱՂԱՅԻՆ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ԾԱՌԱՅՈՒԹՅԱՆ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ՕԲՅԵԿՏՆԵՐԻՆ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ՆԵՐԿԱՅԱՑՎՈՂ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ՊԱՀԱՆՋՆԵՐԸ</w:t>
      </w:r>
    </w:p>
    <w:p w14:paraId="09C8F821" w14:textId="3A1C0047" w:rsidR="0074089C" w:rsidRPr="00CC5B62" w:rsidRDefault="00486BC8" w:rsidP="00486BC8">
      <w:pPr>
        <w:pStyle w:val="NormalWeb"/>
        <w:shd w:val="clear" w:color="auto" w:fill="FFFFFF"/>
        <w:tabs>
          <w:tab w:val="left" w:pos="7686"/>
        </w:tabs>
        <w:spacing w:before="0" w:beforeAutospacing="0" w:after="0" w:afterAutospacing="0"/>
        <w:ind w:left="720" w:hanging="720"/>
        <w:jc w:val="both"/>
        <w:rPr>
          <w:rFonts w:ascii="GHEA Grapalat" w:hAnsi="GHEA Grapalat" w:cs="Tahoma"/>
          <w:sz w:val="20"/>
          <w:szCs w:val="20"/>
          <w:lang w:val="en-US"/>
        </w:rPr>
      </w:pPr>
      <w:r w:rsidRPr="00CC5B62">
        <w:rPr>
          <w:rFonts w:ascii="GHEA Grapalat" w:hAnsi="GHEA Grapalat" w:cs="Tahoma"/>
          <w:sz w:val="20"/>
          <w:szCs w:val="20"/>
          <w:lang w:val="en-US"/>
        </w:rPr>
        <w:tab/>
      </w:r>
      <w:r w:rsidRPr="00CC5B62">
        <w:rPr>
          <w:rFonts w:ascii="GHEA Grapalat" w:hAnsi="GHEA Grapalat" w:cs="Tahoma"/>
          <w:sz w:val="20"/>
          <w:szCs w:val="20"/>
          <w:lang w:val="en-US"/>
        </w:rPr>
        <w:tab/>
      </w:r>
    </w:p>
    <w:p w14:paraId="7DE3C3F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կարիքների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նրանց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պատվերով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5E264A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կառավարության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ցուցանակով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93C26D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տեսանելի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փակցվում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գնացուցակը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4444CD3C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պատվերների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ձևը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որոշում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E825DA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առանձին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կրթության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պատրաստվածության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դիպլոմ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վկայական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առնվազն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ստաժ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A507863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265C1AFB" w14:textId="45B59D57" w:rsidR="0074089C" w:rsidRPr="00CC5B62" w:rsidRDefault="006D00AA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 w:rsidRPr="00CC5B62">
        <w:rPr>
          <w:rFonts w:ascii="GHEA Grapalat" w:hAnsi="GHEA Grapalat" w:cs="Tahoma"/>
          <w:b/>
          <w:sz w:val="20"/>
          <w:szCs w:val="20"/>
          <w:lang w:val="hy-AM"/>
        </w:rPr>
        <w:t>6</w:t>
      </w:r>
      <w:r w:rsidRPr="00CC5B62">
        <w:rPr>
          <w:rFonts w:ascii="Cambria Math" w:hAnsi="Cambria Math" w:cs="Tahoma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 w:cs="Tahoma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</w:rPr>
        <w:t>ԱՌԵՎՏՐԻ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ԵՎ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ԾԱՌԱՅՈՒԹՅՈՒՆՆԵՐԻ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ՈԼՈՐՏՈՒՄ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br/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Հ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>U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ԿՈՂՈՒԹՅԱՆ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ԻՐԱԿԱՆԱՑՄԱՆ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ԿԱՐԳԸ</w:t>
      </w:r>
    </w:p>
    <w:p w14:paraId="3683C9A1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Tahoma"/>
          <w:i/>
          <w:sz w:val="20"/>
          <w:szCs w:val="20"/>
          <w:lang w:val="en-US"/>
        </w:rPr>
      </w:pPr>
    </w:p>
    <w:p w14:paraId="78DAF30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Արմավիրի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ոլորտում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», «</w:t>
      </w:r>
      <w:r w:rsidRPr="00CC5B62">
        <w:rPr>
          <w:rFonts w:ascii="GHEA Grapalat" w:hAnsi="GHEA Grapalat" w:cs="Sylfaen"/>
          <w:sz w:val="20"/>
          <w:szCs w:val="20"/>
        </w:rPr>
        <w:t>Տեղական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ինքնակառավարման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, «</w:t>
      </w:r>
      <w:r w:rsidRPr="00CC5B62">
        <w:rPr>
          <w:rFonts w:ascii="GHEA Grapalat" w:hAnsi="GHEA Grapalat" w:cs="Sylfaen"/>
          <w:sz w:val="20"/>
          <w:szCs w:val="20"/>
        </w:rPr>
        <w:t>Վարչական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օրենսգրքով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վերապահված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շրջանակներում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2AAA06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աշխատակիցների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այ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ուհետ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6D833E8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իրականացումն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հիմք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կարգադրությունը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F4C36BC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կարգադրության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հիմք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վերապահված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լիազորությունների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քաղաքացիներից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(u</w:t>
      </w:r>
      <w:r w:rsidRPr="00CC5B62">
        <w:rPr>
          <w:rFonts w:ascii="GHEA Grapalat" w:hAnsi="GHEA Grapalat" w:cs="Sylfaen"/>
          <w:sz w:val="20"/>
          <w:szCs w:val="20"/>
        </w:rPr>
        <w:t>պառողներից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>) u</w:t>
      </w:r>
      <w:r w:rsidRPr="00CC5B62">
        <w:rPr>
          <w:rFonts w:ascii="GHEA Grapalat" w:hAnsi="GHEA Grapalat" w:cs="Sylfaen"/>
          <w:sz w:val="20"/>
          <w:szCs w:val="20"/>
        </w:rPr>
        <w:t>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առաջարկություններն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առարկությունները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9DC808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հանձնարարագրում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մարմնի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ազգանունը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լրիվ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Հանձնարարագրով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չամրագրված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իրավունք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չունեն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նակցելու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իրականացմանը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B3C41D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ավելի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ընդ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տացի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բյեկտում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մատյանում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գրառում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1B5C95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իրավունքներ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5FAD7D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խախտման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համարակալված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պաշտոնաթերթերի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հավելված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թիվ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2)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րինակից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խախտումներ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թերություններ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չհայտնաբերելու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տեղեկանք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34D5250" w14:textId="77777777" w:rsidR="008775B1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Կազմված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տեղեկանքը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ընթացքում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պաշտոնատար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Կազմված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պաշտոնատար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Տարաձայնությունների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կարծիքները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337320A" w14:textId="385BA4A6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տորագրելուց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հրաժարվելու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գրառում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տարաձայնություններ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գերազանցել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Արձանագրության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պատճենի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րինակը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78788C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արդյունքներով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քննությունը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Վարչական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օրենսգրքով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597A173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Արմավիրի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ոլորտում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հսկողության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հաշվետու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Արմավիրի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մարզպետին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Հսկողության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արդյունքների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կիսամյակային </w:t>
      </w:r>
      <w:r w:rsidRPr="00CC5B62">
        <w:rPr>
          <w:rFonts w:ascii="GHEA Grapalat" w:hAnsi="GHEA Grapalat" w:cs="Sylfaen"/>
          <w:sz w:val="20"/>
          <w:szCs w:val="20"/>
        </w:rPr>
        <w:t>հաշվետվություն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5197A1E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5D6E935C" w14:textId="77777777" w:rsidR="0074089C" w:rsidRPr="00CC5B62" w:rsidRDefault="0074089C" w:rsidP="00752BB9">
      <w:pPr>
        <w:ind w:left="720" w:hanging="720"/>
        <w:rPr>
          <w:rFonts w:ascii="GHEA Grapalat" w:hAnsi="GHEA Grapalat" w:cs="Sylfaen"/>
          <w:sz w:val="20"/>
          <w:szCs w:val="20"/>
          <w:lang w:val="en-US"/>
        </w:rPr>
      </w:pPr>
    </w:p>
    <w:p w14:paraId="76180EAE" w14:textId="77777777" w:rsidR="0074089C" w:rsidRPr="00CC5B62" w:rsidRDefault="0074089C" w:rsidP="00752BB9">
      <w:pPr>
        <w:tabs>
          <w:tab w:val="left" w:pos="-630"/>
        </w:tabs>
        <w:spacing w:line="240" w:lineRule="auto"/>
        <w:ind w:left="720" w:hanging="720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6696CF45" w14:textId="77777777" w:rsidR="0074089C" w:rsidRPr="00CC5B62" w:rsidRDefault="0074089C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5CE76D18" w14:textId="77777777" w:rsidR="006D00AA" w:rsidRPr="00CC5B62" w:rsidRDefault="006D00AA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1C14000D" w14:textId="77777777" w:rsidR="006D00AA" w:rsidRPr="00CC5B62" w:rsidRDefault="006D00AA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3DBF2242" w14:textId="77777777" w:rsidR="00CC5B62" w:rsidRDefault="00CC5B62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91B4DEA" w14:textId="77777777" w:rsidR="00CC5B62" w:rsidRDefault="00CC5B62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29A76CA" w14:textId="6892217B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ՀԱՅԱՏԱՆԻ ՀԱՆՐԱՊԵՏՈՒԹՅՈՒՆ ԱՐՄԱՎԻՐԻ ՄԱՐԶ</w:t>
      </w:r>
      <w:r w:rsidRPr="00CC5B62">
        <w:rPr>
          <w:rFonts w:ascii="GHEA Grapalat" w:hAnsi="GHEA Grapalat"/>
          <w:sz w:val="20"/>
          <w:szCs w:val="20"/>
          <w:lang w:val="hy-AM"/>
        </w:rPr>
        <w:br/>
        <w:t>ՓԱՐԱՔԱՐ ՀԱՄԱՅՆՔԻ ՂԵԿԱՎԱՐ</w:t>
      </w:r>
      <w:r w:rsidRPr="00CC5B62">
        <w:rPr>
          <w:rFonts w:ascii="GHEA Grapalat" w:hAnsi="GHEA Grapalat"/>
          <w:sz w:val="20"/>
          <w:szCs w:val="20"/>
          <w:lang w:val="hy-AM"/>
        </w:rPr>
        <w:br/>
        <w:t>_________________________________________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  <w:r w:rsidRPr="00CC5B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       (թույլտվություն տրամադրող համայնքի անվանումը)</w:t>
      </w:r>
    </w:p>
    <w:p w14:paraId="3C37827A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ԹՈՒՅԼՏՎՈՒԹՅՈՒՆ</w:t>
      </w:r>
    </w:p>
    <w:p w14:paraId="3895623B" w14:textId="145D178D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ՀԱՆՐԱՅԻՆ ՍՆՆԴԻ ԿԱԶՄԱԿԵՐՊՄԱՆ ԵՎ ԻՐԱՑՄԱՆ </w:t>
      </w:r>
    </w:p>
    <w:p w14:paraId="55E63817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</w:p>
    <w:p w14:paraId="7C02AF35" w14:textId="0B261E9C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Տրված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20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</w:p>
    <w:p w14:paraId="0E0870D4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4DD3022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48C6E41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7A6E8EA6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Հայտատու անհատ ձեռնարկատիրոջ անունը, ազգանունը և գտնվելու վայրը կամ իրավաբանական անձի լրիվ անվանումը, կազմակերպա-իրավական ձևը և գտնվելու վայրը, հարկ վճարողի հաշվառման համարը</w:t>
      </w:r>
    </w:p>
    <w:p w14:paraId="7E636ABD" w14:textId="77777777" w:rsidR="0074089C" w:rsidRPr="00CC5B62" w:rsidRDefault="0074089C" w:rsidP="0074089C">
      <w:pPr>
        <w:tabs>
          <w:tab w:val="left" w:pos="-630"/>
        </w:tabs>
        <w:ind w:firstLine="630"/>
        <w:jc w:val="both"/>
        <w:rPr>
          <w:rFonts w:ascii="GHEA Grapalat" w:hAnsi="GHEA Grapalat"/>
          <w:sz w:val="20"/>
          <w:szCs w:val="20"/>
          <w:lang w:val="hy-AM"/>
        </w:rPr>
      </w:pPr>
    </w:p>
    <w:p w14:paraId="4702DF5A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543F61ED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1E9C9FF6" w14:textId="77777777" w:rsidR="0074089C" w:rsidRPr="00CC5B62" w:rsidRDefault="0074089C" w:rsidP="0074089C">
      <w:pPr>
        <w:tabs>
          <w:tab w:val="left" w:pos="-630"/>
        </w:tabs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Գործունեության տեսակի իրականացման վայրը, շինության տեսակը</w:t>
      </w:r>
    </w:p>
    <w:p w14:paraId="79B15231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22AB19FD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1910BFE0" w14:textId="3168AF3E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   Թույլտվության գործողության ժամկետը                 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________________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20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</w:p>
    <w:p w14:paraId="329DBA5C" w14:textId="6CE5C838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մինչև           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________________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20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թ. </w:t>
      </w:r>
    </w:p>
    <w:p w14:paraId="680327EC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p w14:paraId="1A5A64D7" w14:textId="77777777" w:rsid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             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(ստորագրություն)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br/>
        <w:t>Կ.Տ.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 </w:t>
      </w:r>
    </w:p>
    <w:p w14:paraId="32AF346D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7ABC3A2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915170D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3D7F1A2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E5B28E7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0D92AE7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6719461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0DCF624" w14:textId="764F9770" w:rsidR="00752BB9" w:rsidRP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lastRenderedPageBreak/>
        <w:t xml:space="preserve">                                                                      </w:t>
      </w:r>
    </w:p>
    <w:p w14:paraId="1BC8B7FE" w14:textId="77777777" w:rsidR="00D45F05" w:rsidRPr="00CC5B62" w:rsidRDefault="00D45F05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C1F7408" w14:textId="50710B3B" w:rsidR="0074089C" w:rsidRP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Ձև N2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</w:p>
    <w:p w14:paraId="3DB334F1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ՀԱՅՏ</w:t>
      </w:r>
    </w:p>
    <w:p w14:paraId="1F02D9D2" w14:textId="58CD944F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 ՏԱՐԱԾՔՈՒՄ ՀԱՆՐԱՅԻՆ ՍՆՆԴԻ ԿԱԶՄԱԿԵՐՊՄԱՆ </w:t>
      </w:r>
      <w:r w:rsidRPr="00CC5B62">
        <w:rPr>
          <w:rFonts w:ascii="GHEA Grapalat" w:hAnsi="GHEA Grapalat"/>
          <w:sz w:val="20"/>
          <w:szCs w:val="20"/>
          <w:lang w:val="hy-AM"/>
        </w:rPr>
        <w:br/>
        <w:t>ԵՎ ԻՐԱՑՄԱՆ ԹՈՒՅԼՏՎՈՒԹՅՈՒՆ ՍՏԱՆԱԼՈՒ</w:t>
      </w:r>
    </w:p>
    <w:p w14:paraId="4B6AFFB7" w14:textId="77777777" w:rsidR="0074089C" w:rsidRPr="00CC5B62" w:rsidRDefault="0074089C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1.Իրավաբանական անձի (կազմակերպության) անվանումը և կազմակերպական իրավական ձևը կամ անհատ ձեռնարկատիրոջ անունը, ազգանունը, հարկ վճարողի հաշվառման համարը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</w:p>
    <w:p w14:paraId="62E0F2AF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ACB104B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0B3CFC98" w14:textId="463EFF6F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2.Կազմակերպության կամ անհատ ձեռնարկատիրոջ գտնվելու վայրը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___________________________________________________________________________________ </w:t>
      </w:r>
    </w:p>
    <w:p w14:paraId="3DB303B3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3.Գործունեության տեսակի իրականացման վայրը, շինության տեսակը, հեռախոսահամարը, կապի այլ միջոցներ</w:t>
      </w:r>
    </w:p>
    <w:p w14:paraId="17A1B183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3123AD02" w14:textId="7D024E63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___________________________________________________________________________________</w:t>
      </w:r>
    </w:p>
    <w:p w14:paraId="40B0E4F7" w14:textId="0185E217" w:rsidR="0074089C" w:rsidRPr="00CC5B62" w:rsidRDefault="0074089C" w:rsidP="00752BB9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4. Գործունեության անվանումը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>_____________________________________________________________________________________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>_____________________________________________________________________________________</w:t>
      </w:r>
    </w:p>
    <w:p w14:paraId="5D4CBD42" w14:textId="39073D14" w:rsidR="0074089C" w:rsidRPr="00CC5B62" w:rsidRDefault="0074089C" w:rsidP="00752BB9">
      <w:pPr>
        <w:tabs>
          <w:tab w:val="left" w:pos="-630"/>
          <w:tab w:val="left" w:pos="0"/>
        </w:tabs>
        <w:spacing w:line="240" w:lineRule="auto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br/>
        <w:t>5.Թույլտվության  ժամկետը 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_____________________________________________________________________________________ </w:t>
      </w:r>
      <w:r w:rsidRPr="00CC5B62">
        <w:rPr>
          <w:rFonts w:ascii="GHEA Grapalat" w:hAnsi="GHEA Grapalat"/>
          <w:sz w:val="20"/>
          <w:szCs w:val="20"/>
          <w:lang w:val="hy-AM"/>
        </w:rPr>
        <w:t>(նշել թույլտվության պահանջվելիք ժամկետը)</w:t>
      </w:r>
    </w:p>
    <w:p w14:paraId="64056B89" w14:textId="77777777" w:rsidR="0074089C" w:rsidRPr="00CC5B62" w:rsidRDefault="0074089C" w:rsidP="0074089C">
      <w:pPr>
        <w:pBdr>
          <w:bottom w:val="single" w:sz="12" w:space="1" w:color="auto"/>
        </w:pBd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p w14:paraId="3EFB4973" w14:textId="77777777" w:rsidR="0074089C" w:rsidRPr="00CC5B62" w:rsidRDefault="0074089C" w:rsidP="0074089C">
      <w:pPr>
        <w:pBdr>
          <w:bottom w:val="single" w:sz="12" w:space="1" w:color="auto"/>
        </w:pBdr>
        <w:tabs>
          <w:tab w:val="left" w:pos="-630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Ներկայացված տեղեկությունների իսկությունը հաստատում եմ:</w:t>
      </w:r>
    </w:p>
    <w:p w14:paraId="493DA315" w14:textId="77777777" w:rsidR="0074089C" w:rsidRPr="00CC5B62" w:rsidRDefault="0074089C" w:rsidP="0074089C">
      <w:pPr>
        <w:tabs>
          <w:tab w:val="left" w:pos="-630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(կազմակերպության պատասխանատու անձի անունը, հայրանունը, ազգանունը կամ անհատ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ձեռնարկատիրոջ անունը, հայրանունը, ազգանունը)</w:t>
      </w:r>
    </w:p>
    <w:p w14:paraId="06559089" w14:textId="77777777" w:rsidR="00752BB9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     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_</w:t>
      </w:r>
      <w:r w:rsidRPr="00CC5B62">
        <w:rPr>
          <w:rFonts w:ascii="GHEA Grapalat" w:hAnsi="GHEA Grapalat"/>
          <w:sz w:val="20"/>
          <w:szCs w:val="20"/>
          <w:lang w:val="hy-AM"/>
        </w:rPr>
        <w:t>20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</w:p>
    <w:p w14:paraId="5CA64274" w14:textId="2E562E46" w:rsidR="0074089C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Կ.Տ.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</w:t>
      </w:r>
    </w:p>
    <w:p w14:paraId="3B39EF86" w14:textId="38A6B515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E7DB274" w14:textId="67340573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51C1E99D" w14:textId="172C07E6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0F37D08F" w14:textId="77777777" w:rsidR="00CC5B62" w:rsidRP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71505692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4F315765" w14:textId="77777777" w:rsidR="009D4F52" w:rsidRPr="00CC5B62" w:rsidRDefault="009D4F52" w:rsidP="007408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15A516C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14:paraId="371E1898" w14:textId="55AB0922" w:rsidR="009D4F52" w:rsidRPr="00CC5B62" w:rsidRDefault="008775B1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»</w:t>
      </w:r>
      <w:r w:rsidR="009E46A8" w:rsidRPr="00CC5B62"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ԱՐՄԱՎԻՐԻ ՄԱՐԶԻ </w:t>
      </w:r>
      <w:r w:rsidR="00752BB9" w:rsidRPr="00CC5B62">
        <w:rPr>
          <w:rFonts w:ascii="GHEA Grapalat" w:hAnsi="GHEA Grapalat"/>
          <w:b/>
          <w:sz w:val="20"/>
          <w:szCs w:val="20"/>
          <w:lang w:val="hy-AM"/>
        </w:rPr>
        <w:t>ՓԱՐԱՔԱ</w:t>
      </w:r>
      <w:r w:rsidR="009E46A8" w:rsidRPr="00CC5B62">
        <w:rPr>
          <w:rFonts w:ascii="GHEA Grapalat" w:hAnsi="GHEA Grapalat"/>
          <w:b/>
          <w:sz w:val="20"/>
          <w:szCs w:val="20"/>
          <w:lang w:val="hy-AM"/>
        </w:rPr>
        <w:t xml:space="preserve">Ր ՀԱՄԱՅՆՔԻ ԱՎԱԳԱՆՈՒ ՈՐՈՇՄԱՆ ՆԱԽԱԳԾԻ ԸՆԴՈՒՆՄԱՆ </w:t>
      </w:r>
    </w:p>
    <w:p w14:paraId="20F250E9" w14:textId="249D06E4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ԱՆՀՐԱԺԵՇՏՈՒԹՅԱՆ ՎԵՐԱԲԵՐՅԱԼ</w:t>
      </w:r>
    </w:p>
    <w:p w14:paraId="66E77554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B16C8B9" w14:textId="575D78B8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Pr="00CC5B62">
        <w:rPr>
          <w:rFonts w:ascii="GHEA Grapalat" w:hAnsi="GHEA Grapalat"/>
          <w:sz w:val="20"/>
          <w:szCs w:val="20"/>
          <w:lang w:val="hy-AM"/>
        </w:rPr>
        <w:t>Համաձայն «Տեղական ինքնակառավարման մասին» Հայաստանի Հանրապետության  օրենքի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18-րդ հոդվածի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1-ին մասի 40-րդ կետի՝ համայնքի ավագանին սահմանում է համայնքի վարչական տարածքում հանրային սննդի կազմակերպման և իրականացման կանոնները: «Տեղական տուրքերի և վճարների մասին» Հայաստանի Հանրապետության օրենքի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9-րդ հոդվածը սահմանում է Հայաստանի Հանրապետության համայնքներում տեղական տուրքերի տեսակները:</w:t>
      </w:r>
    </w:p>
    <w:p w14:paraId="041F1F07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Համաձայն «Տեղական տուրքերի և վճարների մասին» Հայաստանի Հանրապետության օրենքի վերը մեջբերված հոդվածի  1-ին մասի 12-րդ կետի՝ որպես տեղական տուրքի տեսակ է սահմանված հետևյալը. «համայնքի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համար.»:</w:t>
      </w:r>
    </w:p>
    <w:p w14:paraId="38F5FD6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14:paraId="50071230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14:paraId="3A519700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Օրենսդրական վերը մեջբերված կառուցակարգերի ուսումնասիրությունը թույլ է տալիս արձանագրելու, որ համայնքի ղեկավարի կողմից համայնքի տարածքում 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ավագանու կողմից սահմանված համայնքի տարածքում հանրային սննդի կազմակերպման և իրականացման կանոնները սահմանող որոշման վրա:</w:t>
      </w:r>
    </w:p>
    <w:p w14:paraId="671AB37D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Վերոգրյալից պարզ է դառնում, որ սույն որոշման իրավակիրառական նշանակությունը բավականին մեծ է համայնքների կայուն 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«գալիս են թելադրելու» համայնքի ղեկավարի՝ այդ բնագավառում իրականացվելիք վարչարարական բնույթի գործողությունների ուղղությունները և շրջանակը:</w:t>
      </w:r>
    </w:p>
    <w:p w14:paraId="0664B01C" w14:textId="5A39B148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վարչական տարածքում հանրային սննդի կազմակերպման և իրականացման կանոնները սահմանելու մասին» 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ավագանու որոշման նախագծով առաջարկվում է սահմանել.</w:t>
      </w:r>
    </w:p>
    <w:p w14:paraId="5FC4D2A6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Այն հիմնական հասկացությունները, որոնք բխում են «Առևտրի և ծառայությունների մասին» Հայաստանի Հանրապետության օրենքի 10-րդ հոդվածի կարգավորումներից.</w:t>
      </w:r>
    </w:p>
    <w:p w14:paraId="1CD21827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օբյեկտները դասակարգ</w:t>
      </w:r>
      <w:r w:rsidRPr="00CC5B62">
        <w:rPr>
          <w:rFonts w:ascii="GHEA Grapalat" w:hAnsi="GHEA Grapalat"/>
          <w:sz w:val="20"/>
          <w:szCs w:val="20"/>
        </w:rPr>
        <w:t>ումը.</w:t>
      </w:r>
    </w:p>
    <w:p w14:paraId="42F54E95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ծառայություններ մատուցող կազմակերպությունների տեսակները.</w:t>
      </w:r>
    </w:p>
    <w:p w14:paraId="57D48FBB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օբյեկտի վաճառողին և աշխատողին ներկայացվող պահանջները.</w:t>
      </w:r>
    </w:p>
    <w:p w14:paraId="109ADE77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14:paraId="2055336E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բնույթի 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14:paraId="7FA2BF4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lastRenderedPageBreak/>
        <w:tab/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14:paraId="2190E91A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 12-րդ հոդվածով սահմանված մի շարք համայնքի պարտադիր խնդիրների լուծմանը, մասնավորապես, նկատի ունենալով հետևյալ պարտադիր խնդիրները</w:t>
      </w:r>
    </w:p>
    <w:p w14:paraId="4F4B49E9" w14:textId="77777777" w:rsidR="009E46A8" w:rsidRPr="00CC5B62" w:rsidRDefault="009E46A8" w:rsidP="009E46A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Համայնքի կայուն զարգացումը.</w:t>
      </w:r>
    </w:p>
    <w:p w14:paraId="165F43B8" w14:textId="77777777" w:rsidR="009E46A8" w:rsidRPr="00CC5B62" w:rsidRDefault="009E46A8" w:rsidP="009E46A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Գործարար միջավայրի բարելավումը և ձեռնարկատիրության խթանումը:</w:t>
      </w:r>
    </w:p>
    <w:p w14:paraId="5FB595AD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4F4D09EC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FE32EB2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2C7B5B3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73747B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5BBB11C" w14:textId="77777777" w:rsidR="000C43FE" w:rsidRPr="00CC5B62" w:rsidRDefault="000C43FE" w:rsidP="000C43FE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ՄԻՆԱՍՅԱՆ</w:t>
      </w:r>
    </w:p>
    <w:p w14:paraId="2C863E43" w14:textId="77777777" w:rsidR="000C43FE" w:rsidRPr="00CC5B62" w:rsidRDefault="000C43FE" w:rsidP="000C43FE">
      <w:pPr>
        <w:pStyle w:val="ListParagraph"/>
        <w:spacing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212FEE2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CC99D07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0908D2E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7D55F0A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E1C2C4D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94B5E18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17E0FF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430C804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3DC7F9A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BC2294C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AD337EF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B6D745B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4FE5268" w14:textId="6B48B4CB" w:rsidR="000C43FE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F4CCE73" w14:textId="2098F19D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679D3BA" w14:textId="2ABC492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45055E9" w14:textId="68FC8A3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B4F06CB" w14:textId="61C4770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9174D37" w14:textId="1DFA129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DA916DC" w14:textId="7ADEB921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D712491" w14:textId="0894B901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C8A052C" w14:textId="65F5507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F1C92CA" w14:textId="563813A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05666A0" w14:textId="4DABDF1E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59B5751" w14:textId="43719AF6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852B5B7" w14:textId="1812325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D219C4E" w14:textId="5D76235E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837AE7C" w14:textId="2B2D7CA7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B13CF97" w14:textId="120F7AD2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6E78F25" w14:textId="2C6B7BD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27BF68D" w14:textId="58AE3F36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FBBD91A" w14:textId="5484962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D8162F4" w14:textId="67BE367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73BFE40" w14:textId="2395854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A263508" w14:textId="66CD37A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9DC7035" w14:textId="48C9951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8698C83" w14:textId="044072C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780196E" w14:textId="485C625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B353AC3" w14:textId="641C032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1B312B2" w14:textId="6DE0EA5D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88BD85C" w14:textId="57F834E3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811BEC8" w14:textId="77777777" w:rsidR="00CC5B62" w:rsidRP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CB7B19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1CE93DB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95343AB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43BF1A7" w14:textId="52FA59C9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14:paraId="24CFA230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AB26B69" w14:textId="3BF38F2E" w:rsidR="009E46A8" w:rsidRPr="00CC5B62" w:rsidRDefault="009E46A8" w:rsidP="008775B1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 xml:space="preserve">ՓԱՐԱՔԱՐ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5673D97A" w14:textId="77777777" w:rsidR="000C43FE" w:rsidRPr="00CC5B62" w:rsidRDefault="000C43FE" w:rsidP="008775B1">
      <w:pPr>
        <w:spacing w:after="0" w:line="240" w:lineRule="auto"/>
        <w:ind w:left="567" w:hanging="567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</w:pPr>
    </w:p>
    <w:p w14:paraId="49CF6985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50FED02" w14:textId="1FF2F8A1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</w:r>
      <w:r w:rsidR="008775B1" w:rsidRPr="00CC5B62">
        <w:rPr>
          <w:rFonts w:ascii="GHEA Grapalat" w:hAnsi="GHEA Grapalat"/>
          <w:sz w:val="20"/>
          <w:szCs w:val="20"/>
          <w:lang w:val="hy-AM"/>
        </w:rPr>
        <w:t>«Հ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այաստանի Հանրապետության Արմավիրի մարզի Փարաքար համայնքի վարչական տարածքում հանրային սննդի կազմակերպման և իրա</w:t>
      </w:r>
      <w:r w:rsidR="00EB7767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="008775B1" w:rsidRPr="00CC5B62">
        <w:rPr>
          <w:rFonts w:ascii="GHEA Grapalat" w:hAnsi="GHEA Grapalat"/>
          <w:sz w:val="20"/>
          <w:szCs w:val="20"/>
          <w:lang w:val="hy-AM"/>
        </w:rPr>
        <w:t>»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 xml:space="preserve"> Փարաքար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ավագանու որոշման նախագծի ընդունման առնչությամբ այլ իրավական ակտերի ընդունման անհրաժեշտություն չի առաջանում: </w:t>
      </w:r>
    </w:p>
    <w:p w14:paraId="3F04297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9424748" w14:textId="77777777" w:rsidR="000C43FE" w:rsidRPr="00CC5B62" w:rsidRDefault="000C43FE" w:rsidP="000C43FE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ՄԻՆԱՍՅԱՆ</w:t>
      </w:r>
    </w:p>
    <w:p w14:paraId="3EB55884" w14:textId="77777777" w:rsidR="000C43FE" w:rsidRPr="00CC5B62" w:rsidRDefault="000C43FE" w:rsidP="000C43FE">
      <w:pPr>
        <w:pStyle w:val="ListParagraph"/>
        <w:spacing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65B7F91F" w14:textId="77777777" w:rsidR="000C43FE" w:rsidRPr="00CC5B62" w:rsidRDefault="000C43F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DB77580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14:paraId="4CEA2EA7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2237CFA" w14:textId="3B61A336" w:rsidR="009E46A8" w:rsidRPr="00CC5B62" w:rsidRDefault="009E46A8" w:rsidP="008775B1">
      <w:pPr>
        <w:spacing w:after="0" w:line="240" w:lineRule="auto"/>
        <w:ind w:left="567" w:hanging="567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 xml:space="preserve">ՓԱՐԱՔԱՐ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ԱՎԱԳԱՆՈՒ ՈՐՈՇՄԱՆ ՆԱԽԱԳԾԻ ԸՆԴՈՒՆՄԱՆ ԿԱՊԱԿՑՈՒԹՅԱՄԲ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ՀԱՄԱՅՆՔԻ ԲՅՈՒՋԵՈՒՄ ԵԿԱՄՈՒՏՆԵՐԻ ԵՎ ԾԱԽՍԵՐԻԱՎԵԼԱՑՄԱՆ ԿԱՄ ՆՎԱԶԵՑՄԱՆ ՄԱՍԻՆ</w:t>
      </w:r>
    </w:p>
    <w:p w14:paraId="467E559E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7A75D38" w14:textId="0F90460C" w:rsidR="009E46A8" w:rsidRPr="00CC5B62" w:rsidRDefault="009E46A8" w:rsidP="008775B1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8775B1" w:rsidRPr="00CC5B62">
        <w:rPr>
          <w:rFonts w:ascii="GHEA Grapalat" w:hAnsi="GHEA Grapalat"/>
          <w:sz w:val="20"/>
          <w:szCs w:val="20"/>
          <w:lang w:val="hy-AM"/>
        </w:rPr>
        <w:t>Հ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այաստանի Հանրապետության Արմավիրի մարզի Փարաքար համայնքի վարչական տարածքում հանրային սննդի կազմակերպման և իրա</w:t>
      </w:r>
      <w:r w:rsidR="00156823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ավագանու որոշման նախագծի ընդունման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4C5BA8" w:rsidRPr="00CC5B62">
        <w:rPr>
          <w:rFonts w:ascii="GHEA Grapalat" w:hAnsi="GHEA Grapalat" w:cs="Sylfaen"/>
          <w:sz w:val="20"/>
          <w:szCs w:val="20"/>
          <w:lang w:val="hy-AM"/>
        </w:rPr>
        <w:t xml:space="preserve"> 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բյուջեում եկամուտների ավելացում կամ նվազեցում չի նախատեսվում</w:t>
      </w:r>
      <w:r w:rsidRPr="00CC5B62">
        <w:rPr>
          <w:rFonts w:ascii="GHEA Grapalat" w:hAnsi="GHEA Grapalat"/>
          <w:sz w:val="20"/>
          <w:szCs w:val="20"/>
          <w:lang w:val="hy-AM"/>
        </w:rPr>
        <w:t>։</w:t>
      </w:r>
    </w:p>
    <w:p w14:paraId="6AB030D7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044E9FEB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759BEDB" w14:textId="3D86E58E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>ՄԻՆԱՍ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ՅԱՆ</w:t>
      </w:r>
    </w:p>
    <w:p w14:paraId="28FBB226" w14:textId="77777777" w:rsidR="009E46A8" w:rsidRPr="00CC5B62" w:rsidRDefault="009E46A8" w:rsidP="009E46A8">
      <w:pPr>
        <w:pStyle w:val="ListParagraph"/>
        <w:spacing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AEE266F" w14:textId="77777777" w:rsidR="009E46A8" w:rsidRPr="00CC5B62" w:rsidRDefault="009E46A8" w:rsidP="009E46A8">
      <w:pPr>
        <w:spacing w:line="240" w:lineRule="auto"/>
        <w:ind w:left="567" w:hanging="567"/>
        <w:rPr>
          <w:sz w:val="20"/>
          <w:szCs w:val="20"/>
          <w:lang w:val="hy-AM"/>
        </w:rPr>
      </w:pPr>
    </w:p>
    <w:p w14:paraId="1B89899C" w14:textId="77777777" w:rsidR="009E46A8" w:rsidRPr="00CC5B62" w:rsidRDefault="009E46A8" w:rsidP="006D638C">
      <w:pPr>
        <w:spacing w:after="0"/>
        <w:rPr>
          <w:sz w:val="20"/>
          <w:szCs w:val="20"/>
          <w:lang w:val="hy-AM"/>
        </w:rPr>
      </w:pPr>
    </w:p>
    <w:p w14:paraId="033A94B1" w14:textId="77777777" w:rsidR="006D638C" w:rsidRPr="00CC5B62" w:rsidRDefault="006D638C">
      <w:pPr>
        <w:rPr>
          <w:sz w:val="20"/>
          <w:szCs w:val="20"/>
          <w:lang w:val="hy-AM"/>
        </w:rPr>
      </w:pPr>
    </w:p>
    <w:p w14:paraId="05F1E5C6" w14:textId="77777777" w:rsidR="006D638C" w:rsidRPr="00CC5B62" w:rsidRDefault="006D638C">
      <w:pPr>
        <w:rPr>
          <w:sz w:val="20"/>
          <w:szCs w:val="20"/>
          <w:lang w:val="hy-AM"/>
        </w:rPr>
      </w:pPr>
    </w:p>
    <w:p w14:paraId="5FB85607" w14:textId="7C38899E" w:rsidR="006D638C" w:rsidRDefault="006D638C">
      <w:pPr>
        <w:rPr>
          <w:sz w:val="20"/>
          <w:szCs w:val="20"/>
          <w:lang w:val="hy-AM"/>
        </w:rPr>
      </w:pPr>
    </w:p>
    <w:p w14:paraId="20045AA0" w14:textId="62157913" w:rsidR="00AB6F6A" w:rsidRDefault="00AB6F6A">
      <w:pPr>
        <w:rPr>
          <w:sz w:val="20"/>
          <w:szCs w:val="20"/>
          <w:lang w:val="hy-AM"/>
        </w:rPr>
      </w:pPr>
    </w:p>
    <w:p w14:paraId="6CD2BCA5" w14:textId="6B9BF19C" w:rsidR="00AB6F6A" w:rsidRDefault="00AB6F6A">
      <w:pPr>
        <w:rPr>
          <w:sz w:val="20"/>
          <w:szCs w:val="20"/>
          <w:lang w:val="hy-AM"/>
        </w:rPr>
      </w:pPr>
    </w:p>
    <w:p w14:paraId="5890EE9F" w14:textId="4B1F3AD4" w:rsidR="00AB6F6A" w:rsidRDefault="00AB6F6A">
      <w:pPr>
        <w:rPr>
          <w:sz w:val="20"/>
          <w:szCs w:val="20"/>
          <w:lang w:val="hy-AM"/>
        </w:rPr>
      </w:pPr>
    </w:p>
    <w:p w14:paraId="0820B488" w14:textId="69BA6CE4" w:rsidR="00AB6F6A" w:rsidRDefault="00AB6F6A">
      <w:pPr>
        <w:rPr>
          <w:sz w:val="20"/>
          <w:szCs w:val="20"/>
          <w:lang w:val="hy-AM"/>
        </w:rPr>
      </w:pPr>
    </w:p>
    <w:p w14:paraId="2FF05C78" w14:textId="331821D0" w:rsidR="00AB6F6A" w:rsidRDefault="00AB6F6A">
      <w:pPr>
        <w:rPr>
          <w:sz w:val="20"/>
          <w:szCs w:val="20"/>
          <w:lang w:val="hy-AM"/>
        </w:rPr>
      </w:pPr>
    </w:p>
    <w:p w14:paraId="3FD60792" w14:textId="10ED522B" w:rsidR="00AB6F6A" w:rsidRDefault="00AB6F6A">
      <w:pPr>
        <w:rPr>
          <w:sz w:val="20"/>
          <w:szCs w:val="20"/>
          <w:lang w:val="hy-AM"/>
        </w:rPr>
      </w:pPr>
    </w:p>
    <w:p w14:paraId="7B760533" w14:textId="79B25D99" w:rsidR="00AB6F6A" w:rsidRDefault="00AB6F6A">
      <w:pPr>
        <w:rPr>
          <w:sz w:val="20"/>
          <w:szCs w:val="20"/>
          <w:lang w:val="hy-AM"/>
        </w:rPr>
      </w:pPr>
    </w:p>
    <w:p w14:paraId="4ABDC253" w14:textId="77777777" w:rsidR="00AB6F6A" w:rsidRPr="00CC5B62" w:rsidRDefault="00AB6F6A">
      <w:pPr>
        <w:rPr>
          <w:sz w:val="20"/>
          <w:szCs w:val="20"/>
          <w:lang w:val="hy-AM"/>
        </w:rPr>
      </w:pPr>
    </w:p>
    <w:p w14:paraId="6D28BFDC" w14:textId="77777777" w:rsidR="006D638C" w:rsidRPr="00CC5B62" w:rsidRDefault="006D638C">
      <w:pPr>
        <w:rPr>
          <w:sz w:val="20"/>
          <w:szCs w:val="20"/>
          <w:lang w:val="hy-AM"/>
        </w:rPr>
      </w:pPr>
    </w:p>
    <w:p w14:paraId="7EF17DB2" w14:textId="1108CA72" w:rsidR="001F125A" w:rsidRPr="00CC5B62" w:rsidRDefault="00EB12C8" w:rsidP="00CD0285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eastAsia="Times New Roman" w:hAnsi="GHEA Grapalat"/>
          <w:sz w:val="20"/>
          <w:szCs w:val="20"/>
          <w:lang w:val="hy-AM"/>
        </w:rPr>
        <w:br/>
      </w:r>
    </w:p>
    <w:p w14:paraId="57C974D8" w14:textId="77777777" w:rsidR="001D6081" w:rsidRPr="00CC5B62" w:rsidRDefault="001D6081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sectPr w:rsidR="001D6081" w:rsidRPr="00CC5B62" w:rsidSect="00CC5B62">
      <w:pgSz w:w="12240" w:h="15840"/>
      <w:pgMar w:top="187" w:right="1041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975CDE"/>
    <w:multiLevelType w:val="hybridMultilevel"/>
    <w:tmpl w:val="131C7146"/>
    <w:lvl w:ilvl="0" w:tplc="D36E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2B62"/>
    <w:multiLevelType w:val="hybridMultilevel"/>
    <w:tmpl w:val="CBBA5450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25"/>
        </w:tabs>
        <w:ind w:left="46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45"/>
        </w:tabs>
        <w:ind w:left="53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65"/>
        </w:tabs>
        <w:ind w:left="60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85"/>
        </w:tabs>
        <w:ind w:left="67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05"/>
        </w:tabs>
        <w:ind w:left="75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25"/>
        </w:tabs>
        <w:ind w:left="82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45"/>
        </w:tabs>
        <w:ind w:left="8945" w:hanging="360"/>
      </w:pPr>
    </w:lvl>
  </w:abstractNum>
  <w:abstractNum w:abstractNumId="3" w15:restartNumberingAfterBreak="0">
    <w:nsid w:val="17944169"/>
    <w:multiLevelType w:val="hybridMultilevel"/>
    <w:tmpl w:val="1F28B36C"/>
    <w:lvl w:ilvl="0" w:tplc="4670BCEC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7392"/>
    <w:multiLevelType w:val="hybridMultilevel"/>
    <w:tmpl w:val="E3A4C30C"/>
    <w:lvl w:ilvl="0" w:tplc="17FEC976">
      <w:start w:val="68"/>
      <w:numFmt w:val="decimal"/>
      <w:lvlText w:val="%1."/>
      <w:lvlJc w:val="left"/>
      <w:pPr>
        <w:ind w:left="1095" w:hanging="375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B22511"/>
    <w:multiLevelType w:val="hybridMultilevel"/>
    <w:tmpl w:val="50E48B30"/>
    <w:lvl w:ilvl="0" w:tplc="8FCCF67A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1A84"/>
    <w:multiLevelType w:val="hybridMultilevel"/>
    <w:tmpl w:val="F8AA22E8"/>
    <w:lvl w:ilvl="0" w:tplc="25BAB2D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862"/>
    <w:multiLevelType w:val="hybridMultilevel"/>
    <w:tmpl w:val="8D3A5764"/>
    <w:lvl w:ilvl="0" w:tplc="F606EB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0A0CD9"/>
    <w:multiLevelType w:val="multilevel"/>
    <w:tmpl w:val="032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436D3"/>
    <w:multiLevelType w:val="multilevel"/>
    <w:tmpl w:val="E580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E00322"/>
    <w:multiLevelType w:val="hybridMultilevel"/>
    <w:tmpl w:val="EE84D012"/>
    <w:lvl w:ilvl="0" w:tplc="D7E4C49E">
      <w:start w:val="5"/>
      <w:numFmt w:val="decimal"/>
      <w:lvlText w:val="%1."/>
      <w:lvlJc w:val="left"/>
      <w:pPr>
        <w:ind w:left="360" w:hanging="360"/>
      </w:pPr>
      <w:rPr>
        <w:rFonts w:cs="Sylfaen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D"/>
    <w:rsid w:val="000C43FE"/>
    <w:rsid w:val="00156823"/>
    <w:rsid w:val="001B5EEF"/>
    <w:rsid w:val="001D6081"/>
    <w:rsid w:val="001F125A"/>
    <w:rsid w:val="00231653"/>
    <w:rsid w:val="00257BCA"/>
    <w:rsid w:val="00291A31"/>
    <w:rsid w:val="002E7523"/>
    <w:rsid w:val="00344F17"/>
    <w:rsid w:val="00346B05"/>
    <w:rsid w:val="0035478E"/>
    <w:rsid w:val="003A26AD"/>
    <w:rsid w:val="003A5908"/>
    <w:rsid w:val="00427613"/>
    <w:rsid w:val="00451A9F"/>
    <w:rsid w:val="00456F2F"/>
    <w:rsid w:val="00486BC8"/>
    <w:rsid w:val="004B75F8"/>
    <w:rsid w:val="004C5BA8"/>
    <w:rsid w:val="004E34BC"/>
    <w:rsid w:val="005E4CBD"/>
    <w:rsid w:val="005F348D"/>
    <w:rsid w:val="005F373F"/>
    <w:rsid w:val="00601B59"/>
    <w:rsid w:val="00662EF7"/>
    <w:rsid w:val="006D00AA"/>
    <w:rsid w:val="006D131A"/>
    <w:rsid w:val="006D638C"/>
    <w:rsid w:val="0074089C"/>
    <w:rsid w:val="00752BB9"/>
    <w:rsid w:val="008775B1"/>
    <w:rsid w:val="00877BB6"/>
    <w:rsid w:val="008A7A01"/>
    <w:rsid w:val="00915BF0"/>
    <w:rsid w:val="00922DC4"/>
    <w:rsid w:val="00986735"/>
    <w:rsid w:val="009938A0"/>
    <w:rsid w:val="009D4F52"/>
    <w:rsid w:val="009E46A8"/>
    <w:rsid w:val="00A402A5"/>
    <w:rsid w:val="00A96DE1"/>
    <w:rsid w:val="00AB6F6A"/>
    <w:rsid w:val="00B36752"/>
    <w:rsid w:val="00B63C8A"/>
    <w:rsid w:val="00B95278"/>
    <w:rsid w:val="00BA1CB1"/>
    <w:rsid w:val="00C5167A"/>
    <w:rsid w:val="00C87D05"/>
    <w:rsid w:val="00CC5B62"/>
    <w:rsid w:val="00CD0285"/>
    <w:rsid w:val="00D079C8"/>
    <w:rsid w:val="00D4174B"/>
    <w:rsid w:val="00D45F05"/>
    <w:rsid w:val="00D53C8A"/>
    <w:rsid w:val="00D75815"/>
    <w:rsid w:val="00D86D5A"/>
    <w:rsid w:val="00E21240"/>
    <w:rsid w:val="00EB12C8"/>
    <w:rsid w:val="00EB7767"/>
    <w:rsid w:val="00F21A4F"/>
    <w:rsid w:val="00F41933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415D"/>
  <w15:chartTrackingRefBased/>
  <w15:docId w15:val="{7A4CCF55-625E-4126-B081-AB7D686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23"/>
    <w:rPr>
      <w:rFonts w:eastAsiaTheme="minorEastAsia"/>
      <w:kern w:val="0"/>
      <w:lang w:val="ru-RU" w:eastAsia="ru-RU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B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B1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B1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2E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52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7523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9E46A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A8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99"/>
    <w:qFormat/>
    <w:rsid w:val="0074089C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89C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9C"/>
    <w:rPr>
      <w:rFonts w:ascii="Tahoma" w:eastAsia="SimSun" w:hAnsi="Tahoma" w:cs="Times New Roman"/>
      <w:kern w:val="0"/>
      <w:sz w:val="16"/>
      <w:szCs w:val="16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semiHidden/>
    <w:rsid w:val="0074089C"/>
    <w:pPr>
      <w:shd w:val="clear" w:color="auto" w:fill="000080"/>
      <w:spacing w:after="200" w:line="276" w:lineRule="auto"/>
    </w:pPr>
    <w:rPr>
      <w:rFonts w:ascii="Times New Roman" w:eastAsia="SimSun" w:hAnsi="Times New Roman" w:cs="Times New Roman"/>
      <w:sz w:val="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74089C"/>
    <w:rPr>
      <w:rFonts w:ascii="Times New Roman" w:eastAsia="SimSu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paragraph" w:styleId="NoSpacing">
    <w:name w:val="No Spacing"/>
    <w:uiPriority w:val="1"/>
    <w:qFormat/>
    <w:rsid w:val="0074089C"/>
    <w:pPr>
      <w:spacing w:after="0" w:line="240" w:lineRule="auto"/>
    </w:pPr>
    <w:rPr>
      <w:rFonts w:ascii="Calibri" w:eastAsia="SimSun" w:hAnsi="Calibri" w:cs="Times New Roman"/>
      <w:kern w:val="0"/>
      <w:lang w:val="ru-RU"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character" w:customStyle="1" w:styleId="apple-converted-space">
    <w:name w:val="apple-converted-space"/>
    <w:basedOn w:val="DefaultParagraphFont"/>
    <w:rsid w:val="0074089C"/>
  </w:style>
  <w:style w:type="paragraph" w:customStyle="1" w:styleId="norm">
    <w:name w:val="norm"/>
    <w:basedOn w:val="Normal"/>
    <w:link w:val="normChar"/>
    <w:rsid w:val="0074089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x-none" w:eastAsia="x-none"/>
    </w:rPr>
  </w:style>
  <w:style w:type="character" w:customStyle="1" w:styleId="normChar">
    <w:name w:val="norm Char"/>
    <w:link w:val="norm"/>
    <w:locked/>
    <w:rsid w:val="0074089C"/>
    <w:rPr>
      <w:rFonts w:ascii="Arial Armenian" w:eastAsia="Times New Roman" w:hAnsi="Arial Armenian" w:cs="Times New Roman"/>
      <w:kern w:val="0"/>
      <w:szCs w:val="20"/>
      <w:lang w:val="x-none" w:eastAsia="x-non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2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2C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B12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1">
    <w:name w:val="Нижний колонтитул Знак1"/>
    <w:basedOn w:val="DefaultParagraphFont"/>
    <w:uiPriority w:val="99"/>
    <w:semiHidden/>
    <w:rsid w:val="00EB12C8"/>
    <w:rPr>
      <w:rFonts w:eastAsiaTheme="minorEastAsia"/>
      <w:kern w:val="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B12C8"/>
    <w:rPr>
      <w:rFonts w:ascii="Arial Armenian" w:eastAsia="Times New Roman" w:hAnsi="Arial Armenian" w:cs="Times New Roman"/>
      <w:sz w:val="32"/>
      <w:szCs w:val="24"/>
      <w:u w:val="single"/>
      <w:lang w:eastAsia="ru-RU"/>
    </w:rPr>
  </w:style>
  <w:style w:type="paragraph" w:styleId="BodyText2">
    <w:name w:val="Body Text 2"/>
    <w:basedOn w:val="Normal"/>
    <w:link w:val="BodyText2Char"/>
    <w:rsid w:val="00EB12C8"/>
    <w:pPr>
      <w:tabs>
        <w:tab w:val="left" w:pos="1440"/>
        <w:tab w:val="left" w:pos="4335"/>
      </w:tabs>
      <w:spacing w:after="0" w:line="240" w:lineRule="auto"/>
      <w:jc w:val="center"/>
    </w:pPr>
    <w:rPr>
      <w:rFonts w:ascii="Arial Armenian" w:eastAsia="Times New Roman" w:hAnsi="Arial Armenian" w:cs="Times New Roman"/>
      <w:kern w:val="2"/>
      <w:sz w:val="32"/>
      <w:szCs w:val="24"/>
      <w:u w:val="single"/>
      <w:lang w:val="en-US"/>
      <w14:ligatures w14:val="standardContextual"/>
    </w:rPr>
  </w:style>
  <w:style w:type="character" w:customStyle="1" w:styleId="21">
    <w:name w:val="Основной текст 2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EB12C8"/>
    <w:pPr>
      <w:tabs>
        <w:tab w:val="left" w:pos="1440"/>
        <w:tab w:val="left" w:pos="4335"/>
      </w:tabs>
      <w:spacing w:after="0" w:line="240" w:lineRule="auto"/>
      <w:ind w:right="-360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31">
    <w:name w:val="Основной текст 3 Знак1"/>
    <w:basedOn w:val="DefaultParagraphFont"/>
    <w:uiPriority w:val="99"/>
    <w:semiHidden/>
    <w:rsid w:val="00EB12C8"/>
    <w:rPr>
      <w:rFonts w:eastAsiaTheme="minorEastAsia"/>
      <w:kern w:val="0"/>
      <w:sz w:val="16"/>
      <w:szCs w:val="16"/>
      <w:lang w:val="ru-RU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B12C8"/>
    <w:pPr>
      <w:tabs>
        <w:tab w:val="left" w:pos="1440"/>
      </w:tabs>
      <w:spacing w:after="0" w:line="240" w:lineRule="auto"/>
      <w:jc w:val="both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10">
    <w:name w:val="Основной текст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11">
    <w:name w:val="Схема документа Знак1"/>
    <w:basedOn w:val="DefaultParagraphFont"/>
    <w:uiPriority w:val="99"/>
    <w:semiHidden/>
    <w:rsid w:val="00EB12C8"/>
    <w:rPr>
      <w:rFonts w:ascii="Segoe UI" w:eastAsiaTheme="minorEastAsia" w:hAnsi="Segoe UI" w:cs="Segoe UI"/>
      <w:kern w:val="0"/>
      <w:sz w:val="16"/>
      <w:szCs w:val="16"/>
      <w14:ligatures w14:val="none"/>
    </w:rPr>
  </w:style>
  <w:style w:type="paragraph" w:customStyle="1" w:styleId="Default">
    <w:name w:val="Default"/>
    <w:rsid w:val="00EB1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styleId="PageNumber">
    <w:name w:val="page number"/>
    <w:basedOn w:val="DefaultParagraphFont"/>
    <w:semiHidden/>
    <w:unhideWhenUsed/>
    <w:rsid w:val="00EB12C8"/>
  </w:style>
  <w:style w:type="paragraph" w:customStyle="1" w:styleId="formattext">
    <w:name w:val="formattext"/>
    <w:basedOn w:val="Normal"/>
    <w:rsid w:val="00EB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19ED-18EA-4BDF-AF24-C72376C6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3</cp:revision>
  <cp:lastPrinted>2023-09-04T12:23:00Z</cp:lastPrinted>
  <dcterms:created xsi:type="dcterms:W3CDTF">2023-10-03T10:32:00Z</dcterms:created>
  <dcterms:modified xsi:type="dcterms:W3CDTF">2023-10-11T10:30:00Z</dcterms:modified>
</cp:coreProperties>
</file>